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/>
      </w:pPr>
      <w:r>
        <w:rPr>
          <w:rFonts w:ascii="Liberation Sans" w:hAnsi="Liberation Sans" w:eastAsia="Liberation Sans"/>
          <w:b/>
          <w:color w:val="6E54A3"/>
          <w:sz w:val="21"/>
        </w:rPr>
        <w:t>UNLOCAL</w:t>
      </w:r>
    </w:p>
    <w:p>
      <w:pPr>
        <w:pStyle w:val="Title"/>
      </w:pPr>
      <w:r>
        <w:t>Поддержание жизненного цикла программного обеспечения</w:t>
      </w:r>
    </w:p>
    <w:p>
      <w:r>
        <w:rPr>
          <w:rFonts w:ascii="Liberation Sans" w:hAnsi="Liberation Sans" w:eastAsia="Liberation Sans"/>
          <w:b/>
          <w:color w:val="202124"/>
          <w:sz w:val="23"/>
        </w:rPr>
        <w:t>Устранение неисправностей, совершенствование и сведения о персонале · Unlocal 1.0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1ECF8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>
              <w:rPr>
                <w:rFonts w:ascii="Liberation Sans" w:hAnsi="Liberation Sans" w:eastAsia="Liberation Sans"/>
                <w:b/>
                <w:color w:val="6E54A3"/>
                <w:sz w:val="18"/>
              </w:rPr>
              <w:t xml:space="preserve">Правообладатель: </w:t>
            </w:r>
            <w:r>
              <w:rPr>
                <w:rFonts w:ascii="Liberation Sans" w:hAnsi="Liberation Sans" w:eastAsia="Liberation Sans"/>
                <w:b w:val="0"/>
                <w:color w:val="202124"/>
                <w:sz w:val="18"/>
              </w:rPr>
              <w:t>Общество с ограниченной ответственностью «Продуктовая студия Радмейт»</w:t>
            </w:r>
          </w:p>
          <w:p>
            <w:pPr>
              <w:spacing w:after="0"/>
            </w:pPr>
            <w:r>
              <w:t>Версия ПО: 1.0  ·  Сайт: https://unlv.ru  ·  Документация: https://unlv.ru/software-registry</w:t>
            </w:r>
          </w:p>
        </w:tc>
      </w:tr>
    </w:tbl>
    <w:p>
      <w:pPr>
        <w:pStyle w:val="Heading1"/>
      </w:pPr>
      <w:r>
        <w:t>1. Общие положения</w:t>
      </w:r>
    </w:p>
    <w:p>
      <w:r>
        <w:t>Настоящий документ описывает процессы сопровождения, развития, устранения неисправностей, выпуска изменений, резервного копирования и технической поддержки Unlocal. Для интернет-сервиса поддерживается актуальная рабочая версия программного обеспечения.</w:t>
      </w:r>
    </w:p>
    <w:p>
      <w:pPr>
        <w:pStyle w:val="Heading1"/>
      </w:pPr>
      <w:r>
        <w:t>2. Процессы жизненного цикла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Этап</w:t>
            </w:r>
          </w:p>
        </w:tc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Содержание</w:t>
            </w:r>
          </w:p>
        </w:tc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Планирование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Формирование задач развития, исправлений и технических работ; определение приоритета.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Задача в рабочем плане задач.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Разработка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Внесение изменений в исходный код с фиксацией в системе контроля версий.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Новая версия исходного кода.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Проверка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Линтинг/статические проверки там, где они настроены, аудит зависимостей, проверка миграций и ручное тестирование основных сценариев.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Решение о готовности к выпуску.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Сборка и выпуск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Ручная рабочая сборка и развёртывание на инфраструктуре в Российской Федерации.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Актуальный рабочая версия.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После релиза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Проверка служебная проверка работоспособности, авторизации, записи, загрузки, воспроизведения и фоновых worker-процессов.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Подтверждение работоспособности.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Сопровождение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Приём обращений, анализ логов и состояния сервиса, исправление ошибок и развитие функционала.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исправленная версия либо консультация пользователю.</w:t>
            </w:r>
          </w:p>
        </w:tc>
      </w:tr>
    </w:tbl>
    <w:p>
      <w:pPr>
        <w:pStyle w:val="Heading1"/>
      </w:pPr>
      <w:r>
        <w:t>3. Приём обращений и техническая поддержка</w:t>
      </w:r>
    </w:p>
    <w:p>
      <w:r>
        <w:rPr>
          <w:b/>
        </w:rPr>
        <w:t xml:space="preserve">Основной канал поддержки: </w:t>
      </w:r>
      <w:hyperlink r:id="rId11">
        <w:r>
          <w:rPr>
            <w:color w:val="3D5AA9"/>
            <w:u w:val="single"/>
          </w:rPr>
          <w:t>privet@unlv.ru</w:t>
        </w:r>
      </w:hyperlink>
    </w:p>
    <w:p>
      <w:r>
        <w:t>В обращении рекомендуется указывать браузер и его версию, операционную систему, адрес страницы, время возникновения проблемы, описание действий перед ошибкой и, при наличии, снимок экрана.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Критичность</w:t>
            </w:r>
          </w:p>
        </w:tc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Пример</w:t>
            </w:r>
          </w:p>
        </w:tc>
        <w:tc>
          <w:tcPr>
            <w:tcW w:type="dxa" w:w="3362"/>
            <w:shd w:fill="6E54A3"/>
          </w:tcPr>
          <w:p>
            <w:r>
              <w:rPr>
                <w:rFonts w:ascii="Liberation Sans" w:hAnsi="Liberation Sans" w:eastAsia="Liberation Sans"/>
                <w:b/>
                <w:color w:val="FFFFFF"/>
                <w:sz w:val="16"/>
              </w:rPr>
              <w:t>Порядок обработки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Критическая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Недоступность основного сервиса, риск потери данных, массовая невозможность записи/просмотра.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Приоритетная диагностика и восстановление работоспособности.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Высокая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Существенная деградация ключевой функции без полной недоступности.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Исправление в ближайшем доступном патче/релизе.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Обычная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Локальный или некритичный дефект.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Планирование в рабочем цикле.</w:t>
            </w:r>
          </w:p>
        </w:tc>
      </w:tr>
      <w:tr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Развитие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5"/>
              </w:rPr>
              <w:t>Запрос новой функции или улучшения.</w:t>
            </w:r>
          </w:p>
        </w:tc>
        <w:tc>
          <w:tcPr>
            <w:tcW w:type="dxa" w:w="336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Оценка и включение в продуктовый план развития при целесообразности.</w:t>
            </w:r>
          </w:p>
        </w:tc>
      </w:tr>
    </w:tbl>
    <w:p>
      <w:pPr>
        <w:pStyle w:val="Heading1"/>
      </w:pPr>
      <w:r>
        <w:t>4. Устранение неисправностей</w:t>
      </w:r>
    </w:p>
    <w:p>
      <w:pPr>
        <w:pStyle w:val="ListBullet"/>
      </w:pPr>
      <w:r>
        <w:t>воспроизведение ошибки и фиксация условий возникновения;</w:t>
      </w:r>
    </w:p>
    <w:p>
      <w:pPr>
        <w:pStyle w:val="ListBullet"/>
      </w:pPr>
      <w:r>
        <w:t>анализ журналов приложения, журналов доступа Caddy, состояния контейнеров и служебной проверки работоспособности;</w:t>
      </w:r>
    </w:p>
    <w:p>
      <w:pPr>
        <w:pStyle w:val="ListBullet"/>
      </w:pPr>
      <w:r>
        <w:t>определение затронутого компонента и подготовка минимально необходимого исправления;</w:t>
      </w:r>
    </w:p>
    <w:p>
      <w:pPr>
        <w:pStyle w:val="ListBullet"/>
      </w:pPr>
      <w:r>
        <w:t>проверка смежных пользовательских сценариев;</w:t>
      </w:r>
    </w:p>
    <w:p>
      <w:pPr>
        <w:pStyle w:val="ListBullet"/>
      </w:pPr>
      <w:r>
        <w:t>выпуск исправления;</w:t>
      </w:r>
    </w:p>
    <w:p>
      <w:pPr>
        <w:pStyle w:val="ListBullet"/>
      </w:pPr>
      <w:r>
        <w:t>при неуспешном релизе — откат программной версии и, при необходимости, восстановление данных из резервной копии.</w:t>
      </w:r>
    </w:p>
    <w:p>
      <w:pPr>
        <w:pStyle w:val="Heading1"/>
      </w:pPr>
      <w:r>
        <w:t>5. Резервное копирование и восстановление</w:t>
      </w:r>
    </w:p>
    <w:p>
      <w:r>
        <w:t>Данные PostgreSQL резервируются средствами pg_dump и регламентных копий. Видео и другие объектные данные хранятся в Beget S3-compatible Object Storage. Локальный временный локальный буфер загрузки используется только как временный буфер загрузки и не является основным постоянным хранилищем.</w:t>
      </w:r>
    </w:p>
    <w:p>
      <w:r>
        <w:t>Порядок и фактическая периодичность резервного копирования определяются действующей эксплуатационной конфигурацией. При восстановлении сначала обеспечивается целостность базы данных, затем проверяется доступ к объектным данным и критичным пользовательским сценариям.</w:t>
      </w:r>
    </w:p>
    <w:p>
      <w:pPr>
        <w:pStyle w:val="Heading1"/>
      </w:pPr>
      <w:r>
        <w:t>6. Совершенствование программного обеспечения</w:t>
      </w:r>
    </w:p>
    <w:p>
      <w:pPr>
        <w:pStyle w:val="ListBullet"/>
      </w:pPr>
      <w:r>
        <w:t>развитие пользовательских сценариев записи, редактора, совместной работы и аналитики;</w:t>
      </w:r>
    </w:p>
    <w:p>
      <w:pPr>
        <w:pStyle w:val="ListBullet"/>
      </w:pPr>
      <w:r>
        <w:t>обновление зависимостей и устранение выявленных уязвимостей;</w:t>
      </w:r>
    </w:p>
    <w:p>
      <w:pPr>
        <w:pStyle w:val="ListBullet"/>
      </w:pPr>
      <w:r>
        <w:t>повышение производительности фоновой обработки видео;</w:t>
      </w:r>
    </w:p>
    <w:p>
      <w:pPr>
        <w:pStyle w:val="ListBullet"/>
      </w:pPr>
      <w:r>
        <w:t>улучшение совместимости с актуальными Chromium-браузерами;</w:t>
      </w:r>
    </w:p>
    <w:p>
      <w:pPr>
        <w:pStyle w:val="ListBullet"/>
      </w:pPr>
      <w:r>
        <w:t>актуализация документации при изменении функциональных или эксплуатационных характеристик.</w:t>
      </w:r>
    </w:p>
    <w:p>
      <w:pPr>
        <w:pStyle w:val="Heading1"/>
      </w:pPr>
      <w:r>
        <w:t>7. Ответственный персонал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F1EC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Ответственный за разработку и техническое сопровождение</w:t>
            </w:r>
          </w:p>
        </w:tc>
        <w:tc>
          <w:tcPr>
            <w:tcW w:type="dxa" w:w="504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Шутко Геннадий Геннадьевич, генеральный директор ООО «Студия Радмейт», автор Unlocal.</w:t>
            </w:r>
          </w:p>
        </w:tc>
      </w:tr>
      <w:tr>
        <w:tc>
          <w:tcPr>
            <w:tcW w:type="dxa" w:w="5043"/>
            <w:shd w:fill="F1EC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Гражданство ответственного специалиста</w:t>
            </w:r>
          </w:p>
        </w:tc>
        <w:tc>
          <w:tcPr>
            <w:tcW w:type="dxa" w:w="504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Российская Федерация.</w:t>
            </w:r>
          </w:p>
        </w:tc>
      </w:tr>
      <w:tr>
        <w:tc>
          <w:tcPr>
            <w:tcW w:type="dxa" w:w="5043"/>
            <w:shd w:fill="F1EC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Функции</w:t>
            </w:r>
          </w:p>
        </w:tc>
        <w:tc>
          <w:tcPr>
            <w:tcW w:type="dxa" w:w="504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Разработка, выпуск, диагностика, устранение неисправностей, эксплуатационное сопровождение и принятие решений о развитии продукта.</w:t>
            </w:r>
          </w:p>
        </w:tc>
      </w:tr>
      <w:tr>
        <w:tc>
          <w:tcPr>
            <w:tcW w:type="dxa" w:w="5043"/>
            <w:shd w:fill="F1EC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Контакт поддержки</w:t>
            </w:r>
          </w:p>
        </w:tc>
        <w:tc>
          <w:tcPr>
            <w:tcW w:type="dxa" w:w="504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 w:eastAsia="Liberation Sans"/>
                <w:b w:val="0"/>
                <w:color w:val="202124"/>
                <w:sz w:val="16"/>
              </w:rPr>
              <w:t>privet@unlv.ru</w:t>
            </w:r>
          </w:p>
        </w:tc>
      </w:tr>
    </w:tbl>
    <w:p>
      <w:pPr>
        <w:pStyle w:val="Heading1"/>
      </w:pPr>
      <w:r>
        <w:t>8. Срок и модель поддержки</w:t>
      </w:r>
    </w:p>
    <w:p>
      <w:r>
        <w:t>Версия 1.0 поддерживается в составе актуального версии интернет-сервиса Unlocal. Обновления могут выпускаться без действий пользователя на серверной стороне. При изменении браузерного расширения правообладатель выпускает новую версию официального ZIP-пакета и, при необходимости, обновляет дополнительную публикацию в каталогах браузерных расширений.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879" w:right="1077" w:bottom="879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b w:val="0"/>
        <w:color w:val="666666"/>
        <w:sz w:val="14"/>
      </w:rPr>
      <w:t>ООО «Студия Радмейт» · Unlocal 1.0 · редакция 13 августа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 w:eastAsia="Liberation Sans"/>
        <w:b/>
        <w:color w:val="666666"/>
        <w:sz w:val="14"/>
      </w:rPr>
      <w:t>UNLOCAL · РЕЕСТР РОССИЙСКОГО ПО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Liberation Sans" w:hAnsi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2021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6E54A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202124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6E54A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privet@unl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